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5F" w:rsidRPr="000916E6" w:rsidRDefault="00DE245F" w:rsidP="00DE2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DIO I</w:t>
      </w:r>
      <w:r w:rsidRPr="000916E6">
        <w:rPr>
          <w:rFonts w:ascii="Verdana" w:hAnsi="Verdana"/>
          <w:b/>
          <w:sz w:val="18"/>
          <w:szCs w:val="18"/>
        </w:rPr>
        <w:t>.: PONUDBENI LIST</w:t>
      </w:r>
    </w:p>
    <w:p w:rsidR="00DE245F" w:rsidRPr="000916E6" w:rsidRDefault="00DE245F" w:rsidP="00DE24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E245F" w:rsidRPr="000916E6" w:rsidTr="00410ED9">
        <w:tc>
          <w:tcPr>
            <w:tcW w:w="9431" w:type="dxa"/>
            <w:shd w:val="clear" w:color="auto" w:fill="D9D9D9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6E6">
              <w:rPr>
                <w:rFonts w:ascii="Verdana" w:hAnsi="Verdana"/>
                <w:b/>
                <w:sz w:val="18"/>
                <w:szCs w:val="18"/>
              </w:rPr>
              <w:t>PONUDBENI LIST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  <w:shd w:val="clear" w:color="auto" w:fill="D9D9D9"/>
          </w:tcPr>
          <w:p w:rsidR="002C3F85" w:rsidRDefault="00DE245F" w:rsidP="00410ED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Predmet nabave:</w:t>
            </w:r>
            <w:r w:rsidR="00594F8D">
              <w:rPr>
                <w:rFonts w:ascii="Verdana" w:hAnsi="Verdana"/>
                <w:b/>
                <w:sz w:val="18"/>
                <w:szCs w:val="18"/>
              </w:rPr>
              <w:t xml:space="preserve"> Usluga najma šatora s opremom i pozornicom, Doček Nove godine 2022., Perušić, centar;</w:t>
            </w:r>
            <w:r w:rsidR="00760F7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E245F" w:rsidRPr="000916E6" w:rsidRDefault="00760F7B" w:rsidP="00410ED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Ev.br. nabave </w:t>
            </w:r>
            <w:r w:rsidR="00594F8D">
              <w:rPr>
                <w:rFonts w:ascii="Verdana" w:hAnsi="Verdana"/>
                <w:b/>
                <w:sz w:val="18"/>
                <w:szCs w:val="18"/>
              </w:rPr>
              <w:t>02</w:t>
            </w:r>
            <w:r w:rsidR="00DE245F" w:rsidRPr="00FC627A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D649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DE245F" w:rsidRPr="000916E6" w:rsidTr="00410ED9">
        <w:tc>
          <w:tcPr>
            <w:tcW w:w="9431" w:type="dxa"/>
            <w:shd w:val="clear" w:color="auto" w:fill="D9D9D9"/>
          </w:tcPr>
          <w:p w:rsidR="00207E45" w:rsidRDefault="00207E45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Naručitelj: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C2318">
              <w:rPr>
                <w:rFonts w:ascii="Verdana" w:hAnsi="Verdana"/>
                <w:b/>
                <w:sz w:val="18"/>
                <w:szCs w:val="18"/>
              </w:rPr>
              <w:t>Turistička zajednica općine Perušić</w:t>
            </w:r>
            <w:r w:rsidRPr="000916E6">
              <w:rPr>
                <w:rFonts w:ascii="Verdana" w:hAnsi="Verdana"/>
                <w:b/>
                <w:sz w:val="18"/>
                <w:szCs w:val="18"/>
              </w:rPr>
              <w:t>, Trg popa Marka Mesića 2</w:t>
            </w:r>
            <w:r>
              <w:rPr>
                <w:rFonts w:ascii="Verdana" w:hAnsi="Verdana"/>
                <w:b/>
                <w:sz w:val="18"/>
                <w:szCs w:val="18"/>
              </w:rPr>
              <w:t>, 53202 Perušić, OIB:74510363403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rPr>
          <w:trHeight w:val="579"/>
        </w:trPr>
        <w:tc>
          <w:tcPr>
            <w:tcW w:w="9431" w:type="dxa"/>
            <w:shd w:val="clear" w:color="auto" w:fill="D9D9D9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Odgovorna osoba Naručitelja: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Direktorica, Mateja Smolčić, dipl.</w:t>
            </w:r>
            <w:r w:rsidR="00594F8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oec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16E6">
              <w:rPr>
                <w:rFonts w:ascii="Verdana" w:hAnsi="Verdana"/>
                <w:i/>
                <w:sz w:val="18"/>
                <w:szCs w:val="18"/>
              </w:rPr>
              <w:t>(popunjava naručitelj)</w:t>
            </w: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Naziv ponuditelja: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Adresa (poslovno sjedište):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OIB: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Poslovni (žiro račun):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Broj računa (IBAN):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BIC (SWIFT) i/ili naziv poslovne banke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Ponuditelj je u sustavu PDV-a (zaokružiti): DA     NE</w:t>
            </w:r>
            <w:r w:rsidR="00452F23">
              <w:rPr>
                <w:rFonts w:ascii="Verdana" w:hAnsi="Verdana"/>
                <w:sz w:val="18"/>
                <w:szCs w:val="18"/>
              </w:rPr>
              <w:t>*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Adresa za dostavu pošte: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E-pošta: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Kontakt osoba: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Tel: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  <w:tcBorders>
              <w:bottom w:val="single" w:sz="4" w:space="0" w:color="auto"/>
            </w:tcBorders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Faks: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  <w:shd w:val="clear" w:color="auto" w:fill="D9D9D9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PONUDA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Broj ponude: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Datum ponude: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Cijena ponude bez PDV-a: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Iznos PDV-a: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Cijena ponude s PDV-om: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245F" w:rsidRPr="000916E6" w:rsidTr="00410ED9">
        <w:tc>
          <w:tcPr>
            <w:tcW w:w="9431" w:type="dxa"/>
          </w:tcPr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ind w:left="4860"/>
              <w:jc w:val="center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Ovjerava ovlaštena osoba ponuditelja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ind w:left="4860"/>
              <w:jc w:val="center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sz w:val="18"/>
                <w:szCs w:val="18"/>
              </w:rPr>
              <w:t>________________________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ind w:left="4860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ind w:left="48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16E6">
              <w:rPr>
                <w:rFonts w:ascii="Verdana" w:hAnsi="Verdana"/>
                <w:i/>
                <w:sz w:val="18"/>
                <w:szCs w:val="18"/>
              </w:rPr>
              <w:t>(ime i prezime ovlaštene osobe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ind w:left="4860"/>
              <w:jc w:val="center"/>
              <w:rPr>
                <w:rFonts w:ascii="Verdana" w:hAnsi="Verdana"/>
                <w:sz w:val="18"/>
                <w:szCs w:val="18"/>
              </w:rPr>
            </w:pPr>
            <w:r w:rsidRPr="000916E6">
              <w:rPr>
                <w:rFonts w:ascii="Verdana" w:hAnsi="Verdana"/>
                <w:i/>
                <w:sz w:val="18"/>
                <w:szCs w:val="18"/>
              </w:rPr>
              <w:t>ponuditelja, potpis i ovjera)</w:t>
            </w:r>
          </w:p>
          <w:p w:rsidR="00DE245F" w:rsidRPr="000916E6" w:rsidRDefault="00DE245F" w:rsidP="00410ED9">
            <w:pPr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E245F" w:rsidRPr="00AD2E75" w:rsidRDefault="00452F23" w:rsidP="0045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AD2E75">
              <w:rPr>
                <w:sz w:val="16"/>
                <w:szCs w:val="16"/>
              </w:rPr>
              <w:t>temeljem čl</w:t>
            </w:r>
            <w:r w:rsidR="00AD2E75">
              <w:rPr>
                <w:sz w:val="16"/>
                <w:szCs w:val="16"/>
              </w:rPr>
              <w:t>. 90 st.1 i st.2 Zakona o Porezu na dodanu vrijednost</w:t>
            </w:r>
            <w:r w:rsidRPr="00AD2E75">
              <w:rPr>
                <w:sz w:val="16"/>
                <w:szCs w:val="16"/>
              </w:rPr>
              <w:t xml:space="preserve"> </w:t>
            </w:r>
            <w:r w:rsidR="00AD2E75" w:rsidRPr="00AD2E75">
              <w:rPr>
                <w:sz w:val="16"/>
                <w:szCs w:val="16"/>
              </w:rPr>
              <w:t xml:space="preserve">(NN 73/13, 99/13, 148/13, 153/13, 143/14, 115/16, 106/18, 121/19, 138/20, 39/22) </w:t>
            </w:r>
            <w:r w:rsidRPr="00AD2E75">
              <w:rPr>
                <w:sz w:val="16"/>
                <w:szCs w:val="16"/>
              </w:rPr>
              <w:t>Ponuditelj nije u sustavu PDV-a</w:t>
            </w:r>
          </w:p>
          <w:p w:rsidR="00DE245F" w:rsidRPr="000916E6" w:rsidRDefault="00DE245F" w:rsidP="0041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DE245F" w:rsidRDefault="00DE245F" w:rsidP="00DE2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07E45" w:rsidRDefault="00207E45" w:rsidP="00DE2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E245F" w:rsidRPr="000916E6" w:rsidRDefault="00DE245F" w:rsidP="00DE2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0916E6">
        <w:rPr>
          <w:rFonts w:ascii="Verdana" w:hAnsi="Verdana"/>
          <w:b/>
          <w:sz w:val="18"/>
          <w:szCs w:val="18"/>
        </w:rPr>
        <w:t>DIO II.</w:t>
      </w:r>
    </w:p>
    <w:p w:rsidR="00DE245F" w:rsidRDefault="00DE245F" w:rsidP="00DE2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E245F" w:rsidRPr="00FA364C" w:rsidRDefault="00DE245F" w:rsidP="00DE245F">
      <w:pPr>
        <w:jc w:val="center"/>
        <w:rPr>
          <w:b/>
        </w:rPr>
      </w:pPr>
      <w:r w:rsidRPr="00FA364C">
        <w:rPr>
          <w:b/>
          <w:sz w:val="28"/>
          <w:szCs w:val="28"/>
        </w:rPr>
        <w:t>IZJAVA O NEKAŽNJAVANJU</w:t>
      </w:r>
    </w:p>
    <w:p w:rsidR="00DE245F" w:rsidRPr="00FD70B6" w:rsidRDefault="00DE245F" w:rsidP="00DE245F">
      <w:pPr>
        <w:jc w:val="center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bCs/>
          <w:sz w:val="20"/>
          <w:szCs w:val="20"/>
        </w:rPr>
        <w:t>(temeljem članka  251. stavka 1. točka 1. i članka 265. stavka 2.   Zakona o javnoj nabavi (Narodne novine, broj  120/2016)</w:t>
      </w:r>
    </w:p>
    <w:p w:rsidR="00DE245F" w:rsidRPr="00FD70B6" w:rsidRDefault="00DE245F" w:rsidP="00DE245F">
      <w:pPr>
        <w:autoSpaceDE w:val="0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kojom ja __________________________________________________________</w:t>
      </w:r>
    </w:p>
    <w:p w:rsidR="00DE245F" w:rsidRPr="00FD70B6" w:rsidRDefault="00DE245F" w:rsidP="00DE245F">
      <w:pPr>
        <w:autoSpaceDE w:val="0"/>
        <w:jc w:val="center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(ime i prezime, adresa stanovanja, OIB)</w:t>
      </w:r>
    </w:p>
    <w:p w:rsidR="00DE245F" w:rsidRPr="00FD70B6" w:rsidRDefault="00DE245F" w:rsidP="00DE245F">
      <w:pPr>
        <w:autoSpaceDE w:val="0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 xml:space="preserve">kao osoba po zakonu ovlaštena za zastupanje gospodarskog subjekta: </w:t>
      </w:r>
    </w:p>
    <w:p w:rsidR="00DE245F" w:rsidRPr="00FD70B6" w:rsidRDefault="00DE245F" w:rsidP="00DE245F">
      <w:pPr>
        <w:autoSpaceDE w:val="0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 xml:space="preserve">_________________________________________________________________ </w:t>
      </w:r>
    </w:p>
    <w:p w:rsidR="00DE245F" w:rsidRPr="00FD70B6" w:rsidRDefault="00DE245F" w:rsidP="00DE245F">
      <w:pPr>
        <w:autoSpaceDE w:val="0"/>
        <w:jc w:val="center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(naziv i adresa gospodarskog subjekta, OIB)</w:t>
      </w:r>
    </w:p>
    <w:p w:rsidR="00DE245F" w:rsidRPr="00FD70B6" w:rsidRDefault="00DE245F" w:rsidP="00DE245F">
      <w:pPr>
        <w:autoSpaceDE w:val="0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 xml:space="preserve">izjavljujem </w:t>
      </w:r>
      <w:r w:rsidRPr="00FD70B6">
        <w:rPr>
          <w:rStyle w:val="Zadanifontodlomka1"/>
          <w:rFonts w:ascii="Verdana" w:hAnsi="Verdana" w:cs="Arial"/>
          <w:b/>
          <w:sz w:val="20"/>
          <w:szCs w:val="20"/>
        </w:rPr>
        <w:t>za sebe i za gospodarski subjekt</w:t>
      </w:r>
      <w:r w:rsidRPr="00FD70B6">
        <w:rPr>
          <w:rStyle w:val="Zadanifontodlomka1"/>
          <w:rFonts w:ascii="Verdana" w:hAnsi="Verdana" w:cs="Arial"/>
          <w:sz w:val="20"/>
          <w:szCs w:val="20"/>
        </w:rPr>
        <w:t>, da protiv mene osobno niti protiv gospodarskog subjekta kojeg zastupam nije izrečena pravomoćna osuđujuća presuda za:</w:t>
      </w:r>
    </w:p>
    <w:p w:rsidR="00DE245F" w:rsidRPr="00FD70B6" w:rsidRDefault="00DE245F" w:rsidP="00DE245F">
      <w:pPr>
        <w:pStyle w:val="Odlomakpopisa1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t>sudjelovanje u zločinačkoj organizaciji, na temelju</w:t>
      </w:r>
    </w:p>
    <w:p w:rsidR="00DE245F" w:rsidRPr="00FD70B6" w:rsidRDefault="00DE245F" w:rsidP="00DE245F">
      <w:pPr>
        <w:autoSpaceDE w:val="0"/>
        <w:spacing w:before="120"/>
        <w:ind w:left="709" w:hanging="284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 članka 328. (zločinačko udruženje) i članka 329. (počinjenje kaznenog djela u     sastavu zločinačkog udruženja) Kaznenog zakona i</w:t>
      </w:r>
    </w:p>
    <w:p w:rsidR="00DE245F" w:rsidRPr="00FD70B6" w:rsidRDefault="00DE245F" w:rsidP="00DE245F">
      <w:pPr>
        <w:autoSpaceDE w:val="0"/>
        <w:spacing w:before="120"/>
        <w:ind w:left="709" w:hanging="284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DE245F" w:rsidRPr="00FD70B6" w:rsidRDefault="00DE245F" w:rsidP="00DE245F">
      <w:pPr>
        <w:autoSpaceDE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t>b)  korupciju, na temelju</w:t>
      </w:r>
    </w:p>
    <w:p w:rsidR="00DE245F" w:rsidRPr="00FD70B6" w:rsidRDefault="00DE245F" w:rsidP="00DE245F">
      <w:pPr>
        <w:pStyle w:val="Odlomakpopisa1"/>
        <w:numPr>
          <w:ilvl w:val="0"/>
          <w:numId w:val="2"/>
        </w:numPr>
        <w:autoSpaceDE w:val="0"/>
        <w:autoSpaceDN w:val="0"/>
        <w:spacing w:before="120" w:after="0" w:line="240" w:lineRule="auto"/>
        <w:ind w:left="709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 xml:space="preserve">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E245F" w:rsidRPr="00FD70B6" w:rsidRDefault="00DE245F" w:rsidP="00DE245F">
      <w:pPr>
        <w:autoSpaceDE w:val="0"/>
        <w:spacing w:before="120"/>
        <w:ind w:left="709" w:hanging="284"/>
        <w:jc w:val="both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E245F" w:rsidRPr="00FD70B6" w:rsidRDefault="00DE245F" w:rsidP="00DE245F">
      <w:pPr>
        <w:autoSpaceDE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t>c) prijevaru, na temelju</w:t>
      </w:r>
    </w:p>
    <w:p w:rsidR="00DE245F" w:rsidRPr="00FD70B6" w:rsidRDefault="00DE245F" w:rsidP="00DE245F">
      <w:pPr>
        <w:autoSpaceDE w:val="0"/>
        <w:spacing w:before="120"/>
        <w:ind w:left="709" w:hanging="284"/>
        <w:jc w:val="both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:rsidR="00DE245F" w:rsidRPr="00FD70B6" w:rsidRDefault="00DE245F" w:rsidP="00DE245F">
      <w:pPr>
        <w:autoSpaceDE w:val="0"/>
        <w:spacing w:before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DE245F" w:rsidRPr="00FD70B6" w:rsidRDefault="00DE245F" w:rsidP="00DE245F">
      <w:pPr>
        <w:autoSpaceDE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lastRenderedPageBreak/>
        <w:t>d) terorizam ili kaznena djela povezana s terorističkim aktivnostima, na temelju</w:t>
      </w:r>
    </w:p>
    <w:p w:rsidR="00DE245F" w:rsidRPr="00FD70B6" w:rsidRDefault="00DE245F" w:rsidP="00DE245F">
      <w:pPr>
        <w:autoSpaceDE w:val="0"/>
        <w:spacing w:before="120"/>
        <w:ind w:left="709" w:hanging="284"/>
        <w:jc w:val="both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E245F" w:rsidRPr="00FD70B6" w:rsidRDefault="00DE245F" w:rsidP="00DE245F">
      <w:pPr>
        <w:autoSpaceDE w:val="0"/>
        <w:ind w:left="709" w:hanging="283"/>
        <w:jc w:val="both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E245F" w:rsidRPr="00FD70B6" w:rsidRDefault="00DE245F" w:rsidP="00DE245F">
      <w:pPr>
        <w:autoSpaceDE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t>e) pranje novca ili financiranje terorizma, na temelju</w:t>
      </w:r>
    </w:p>
    <w:p w:rsidR="00DE245F" w:rsidRPr="00FD70B6" w:rsidRDefault="00DE245F" w:rsidP="00DE245F">
      <w:pPr>
        <w:autoSpaceDE w:val="0"/>
        <w:spacing w:before="120"/>
        <w:ind w:left="709" w:hanging="284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98. (financiranje terorizma) i članka 265. (pranje novca) Kaznenog zakona</w:t>
      </w:r>
    </w:p>
    <w:p w:rsidR="00DE245F" w:rsidRPr="00FD70B6" w:rsidRDefault="00DE245F" w:rsidP="00DE245F">
      <w:pPr>
        <w:autoSpaceDE w:val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DE245F" w:rsidRPr="00FD70B6" w:rsidRDefault="00DE245F" w:rsidP="00DE245F">
      <w:pPr>
        <w:autoSpaceDE w:val="0"/>
        <w:rPr>
          <w:rFonts w:ascii="Verdana" w:hAnsi="Verdana" w:cs="Arial"/>
          <w:b/>
          <w:sz w:val="20"/>
          <w:szCs w:val="20"/>
        </w:rPr>
      </w:pPr>
      <w:r w:rsidRPr="00FD70B6">
        <w:rPr>
          <w:rFonts w:ascii="Verdana" w:hAnsi="Verdana" w:cs="Arial"/>
          <w:b/>
          <w:sz w:val="20"/>
          <w:szCs w:val="20"/>
        </w:rPr>
        <w:t>f) dječji rad ili druge oblike trgovanja ljudima, na temelju</w:t>
      </w:r>
    </w:p>
    <w:p w:rsidR="00DE245F" w:rsidRPr="00FD70B6" w:rsidRDefault="00DE245F" w:rsidP="00DE245F">
      <w:pPr>
        <w:autoSpaceDE w:val="0"/>
        <w:spacing w:before="120"/>
        <w:ind w:left="709" w:hanging="284"/>
        <w:rPr>
          <w:rFonts w:ascii="Verdana" w:hAnsi="Verdana" w:cs="Arial"/>
          <w:sz w:val="20"/>
          <w:szCs w:val="20"/>
        </w:rPr>
      </w:pPr>
      <w:r w:rsidRPr="00FD70B6">
        <w:rPr>
          <w:rFonts w:ascii="Verdana" w:hAnsi="Verdana" w:cs="Arial"/>
          <w:sz w:val="20"/>
          <w:szCs w:val="20"/>
        </w:rPr>
        <w:t>– članka 106. (trgovanje ljudima) Kaznenog zakona</w:t>
      </w:r>
    </w:p>
    <w:p w:rsidR="00DE245F" w:rsidRPr="00FD70B6" w:rsidRDefault="00DE245F" w:rsidP="00DE245F">
      <w:pPr>
        <w:autoSpaceDE w:val="0"/>
        <w:ind w:left="709" w:hanging="283"/>
        <w:rPr>
          <w:rFonts w:ascii="Verdana" w:hAnsi="Verdana"/>
          <w:sz w:val="20"/>
          <w:szCs w:val="20"/>
        </w:rPr>
      </w:pPr>
      <w:r w:rsidRPr="00FD70B6">
        <w:rPr>
          <w:rStyle w:val="Zadanifontodlomka1"/>
          <w:rFonts w:ascii="Verdana" w:hAnsi="Verdana" w:cs="Arial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DE245F" w:rsidRDefault="00DE245F" w:rsidP="00DE245F">
      <w:pPr>
        <w:jc w:val="both"/>
        <w:outlineLvl w:val="0"/>
      </w:pPr>
    </w:p>
    <w:p w:rsidR="00DE245F" w:rsidRPr="00FB304D" w:rsidRDefault="00DE245F" w:rsidP="00DE245F">
      <w:pPr>
        <w:jc w:val="both"/>
        <w:outlineLvl w:val="0"/>
      </w:pPr>
      <w:r w:rsidRPr="00FB304D">
        <w:t>U _____</w:t>
      </w:r>
      <w:r w:rsidR="001D5F1E">
        <w:t>__________, ______._______. 2022</w:t>
      </w:r>
      <w:r w:rsidRPr="00FB304D">
        <w:t>. godine.</w:t>
      </w:r>
    </w:p>
    <w:p w:rsidR="00DE245F" w:rsidRPr="00FB304D" w:rsidRDefault="00DE245F" w:rsidP="00DE245F">
      <w:pPr>
        <w:ind w:left="-180"/>
        <w:jc w:val="both"/>
      </w:pPr>
      <w:r w:rsidRPr="00FB304D">
        <w:tab/>
      </w:r>
      <w:r>
        <w:t xml:space="preserve">                </w:t>
      </w:r>
      <w:r w:rsidRPr="00FB304D">
        <w:rPr>
          <w:sz w:val="20"/>
        </w:rPr>
        <w:t>(mjesto)                       (datum)</w:t>
      </w:r>
    </w:p>
    <w:p w:rsidR="00DE245F" w:rsidRDefault="00DE245F" w:rsidP="00DE245F">
      <w:pPr>
        <w:jc w:val="both"/>
      </w:pPr>
      <w:r w:rsidRPr="00FA364C">
        <w:tab/>
      </w:r>
      <w:r w:rsidRPr="00FA364C">
        <w:tab/>
      </w:r>
      <w:r w:rsidRPr="00FA364C">
        <w:tab/>
      </w:r>
      <w:r w:rsidRPr="00FA364C">
        <w:tab/>
      </w:r>
    </w:p>
    <w:p w:rsidR="00DE245F" w:rsidRDefault="00DE245F" w:rsidP="00DE245F">
      <w:pPr>
        <w:jc w:val="both"/>
      </w:pPr>
    </w:p>
    <w:p w:rsidR="00DE245F" w:rsidRPr="00FA364C" w:rsidRDefault="00DE245F" w:rsidP="00DE245F">
      <w:pPr>
        <w:ind w:left="2124" w:firstLine="708"/>
        <w:jc w:val="both"/>
      </w:pPr>
      <w:r w:rsidRPr="00FA364C">
        <w:t>M.P.</w:t>
      </w:r>
    </w:p>
    <w:p w:rsidR="00DE245F" w:rsidRPr="00FA364C" w:rsidRDefault="00DE245F" w:rsidP="00DE245F">
      <w:pPr>
        <w:jc w:val="right"/>
        <w:rPr>
          <w:b/>
          <w:sz w:val="18"/>
          <w:szCs w:val="18"/>
        </w:rPr>
      </w:pPr>
      <w:r w:rsidRPr="00FA364C">
        <w:rPr>
          <w:b/>
          <w:sz w:val="18"/>
          <w:szCs w:val="18"/>
        </w:rPr>
        <w:t>________________________________________________</w:t>
      </w:r>
    </w:p>
    <w:p w:rsidR="00DE245F" w:rsidRPr="00FA364C" w:rsidRDefault="00DE245F" w:rsidP="00DE245F">
      <w:pPr>
        <w:keepNext/>
        <w:jc w:val="right"/>
        <w:outlineLvl w:val="2"/>
        <w:rPr>
          <w:i/>
          <w:sz w:val="20"/>
          <w:szCs w:val="20"/>
        </w:rPr>
      </w:pPr>
      <w:r w:rsidRPr="00FA364C">
        <w:rPr>
          <w:i/>
          <w:sz w:val="20"/>
          <w:szCs w:val="20"/>
        </w:rPr>
        <w:t>(</w:t>
      </w:r>
      <w:r w:rsidRPr="00FA364C">
        <w:rPr>
          <w:i/>
          <w:sz w:val="18"/>
          <w:szCs w:val="18"/>
        </w:rPr>
        <w:t>potpis osobe ovlaštene za zastupanje gospodarskog subjekta)</w:t>
      </w:r>
    </w:p>
    <w:p w:rsidR="00DE245F" w:rsidRPr="00EC0189" w:rsidRDefault="00DE245F" w:rsidP="00DE245F">
      <w:pPr>
        <w:jc w:val="both"/>
        <w:rPr>
          <w:iCs/>
          <w:color w:val="FF0000"/>
        </w:rPr>
      </w:pPr>
    </w:p>
    <w:p w:rsidR="00DE245F" w:rsidRDefault="00DE245F" w:rsidP="00DE245F">
      <w:pPr>
        <w:rPr>
          <w:color w:val="FF0000"/>
        </w:rPr>
      </w:pPr>
    </w:p>
    <w:p w:rsidR="00DE245F" w:rsidRDefault="00DE245F" w:rsidP="00DE245F">
      <w:pPr>
        <w:rPr>
          <w:color w:val="FF0000"/>
        </w:rPr>
      </w:pPr>
    </w:p>
    <w:p w:rsidR="00DE245F" w:rsidRDefault="00DE245F" w:rsidP="00DE245F">
      <w:pPr>
        <w:rPr>
          <w:color w:val="FF0000"/>
        </w:rPr>
      </w:pPr>
    </w:p>
    <w:p w:rsidR="002171FF" w:rsidRDefault="002171FF"/>
    <w:p w:rsidR="002D5A6D" w:rsidRPr="002D5A6D" w:rsidRDefault="002D5A6D">
      <w:pPr>
        <w:rPr>
          <w:b/>
          <w:sz w:val="28"/>
          <w:szCs w:val="28"/>
        </w:rPr>
      </w:pPr>
      <w:bookmarkStart w:id="0" w:name="_GoBack"/>
      <w:bookmarkEnd w:id="0"/>
    </w:p>
    <w:sectPr w:rsidR="002D5A6D" w:rsidRPr="002D5A6D" w:rsidSect="00AE3516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06" w:rsidRDefault="00D65406">
      <w:pPr>
        <w:spacing w:after="0" w:line="240" w:lineRule="auto"/>
      </w:pPr>
      <w:r>
        <w:separator/>
      </w:r>
    </w:p>
  </w:endnote>
  <w:endnote w:type="continuationSeparator" w:id="0">
    <w:p w:rsidR="00D65406" w:rsidRDefault="00D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56" w:rsidRDefault="00DE245F" w:rsidP="002968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2256" w:rsidRDefault="00D65406" w:rsidP="0029681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56" w:rsidRDefault="00DE245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F767D">
      <w:rPr>
        <w:noProof/>
      </w:rPr>
      <w:t>3</w:t>
    </w:r>
    <w:r>
      <w:fldChar w:fldCharType="end"/>
    </w:r>
  </w:p>
  <w:p w:rsidR="00282256" w:rsidRDefault="00D65406" w:rsidP="0029681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06" w:rsidRDefault="00D65406">
      <w:pPr>
        <w:spacing w:after="0" w:line="240" w:lineRule="auto"/>
      </w:pPr>
      <w:r>
        <w:separator/>
      </w:r>
    </w:p>
  </w:footnote>
  <w:footnote w:type="continuationSeparator" w:id="0">
    <w:p w:rsidR="00D65406" w:rsidRDefault="00D6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D67"/>
    <w:multiLevelType w:val="multilevel"/>
    <w:tmpl w:val="C180D9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B59"/>
    <w:multiLevelType w:val="multilevel"/>
    <w:tmpl w:val="C04227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F"/>
    <w:rsid w:val="00011762"/>
    <w:rsid w:val="001D5F1E"/>
    <w:rsid w:val="00207E45"/>
    <w:rsid w:val="002171FF"/>
    <w:rsid w:val="002C3F85"/>
    <w:rsid w:val="002D5A6D"/>
    <w:rsid w:val="00452770"/>
    <w:rsid w:val="00452F23"/>
    <w:rsid w:val="00594F8D"/>
    <w:rsid w:val="00671D8D"/>
    <w:rsid w:val="006E5E9E"/>
    <w:rsid w:val="00707E24"/>
    <w:rsid w:val="00760F7B"/>
    <w:rsid w:val="00AD2E75"/>
    <w:rsid w:val="00B56BE1"/>
    <w:rsid w:val="00CF767D"/>
    <w:rsid w:val="00D65406"/>
    <w:rsid w:val="00DE245F"/>
    <w:rsid w:val="00ED6490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498E-26A2-4D05-9BD4-695238C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5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E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45F"/>
    <w:rPr>
      <w:rFonts w:ascii="Calibri" w:eastAsia="Calibri" w:hAnsi="Calibri" w:cs="Times New Roman"/>
      <w:lang w:val="hr-HR"/>
    </w:rPr>
  </w:style>
  <w:style w:type="paragraph" w:customStyle="1" w:styleId="Odlomakpopisa1">
    <w:name w:val="Odlomak popisa1"/>
    <w:basedOn w:val="Normal"/>
    <w:qFormat/>
    <w:rsid w:val="00DE245F"/>
    <w:pPr>
      <w:ind w:left="720"/>
      <w:contextualSpacing/>
    </w:pPr>
  </w:style>
  <w:style w:type="character" w:styleId="Brojstranice">
    <w:name w:val="page number"/>
    <w:basedOn w:val="Zadanifontodlomka"/>
    <w:rsid w:val="00DE245F"/>
  </w:style>
  <w:style w:type="character" w:customStyle="1" w:styleId="Zadanifontodlomka1">
    <w:name w:val="Zadani font odlomka1"/>
    <w:rsid w:val="00DE245F"/>
  </w:style>
  <w:style w:type="paragraph" w:styleId="Tekstbalonia">
    <w:name w:val="Balloon Text"/>
    <w:basedOn w:val="Normal"/>
    <w:link w:val="TekstbaloniaChar"/>
    <w:uiPriority w:val="99"/>
    <w:semiHidden/>
    <w:unhideWhenUsed/>
    <w:rsid w:val="00ED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90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5013-C11C-4A19-90DD-2CE05283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13</cp:revision>
  <cp:lastPrinted>2022-05-03T11:04:00Z</cp:lastPrinted>
  <dcterms:created xsi:type="dcterms:W3CDTF">2021-07-23T10:21:00Z</dcterms:created>
  <dcterms:modified xsi:type="dcterms:W3CDTF">2022-10-31T08:35:00Z</dcterms:modified>
</cp:coreProperties>
</file>